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Riviera French Institute — language school in France</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15 Boulevard d'Alsace, Cannes, France, </w:t>
      </w:r>
      <w:r w:rsidR="00A32336">
        <w:rPr>
          <w:lang w:val="en-US"/>
        </w:rPr>
        <w:t>from</w:t>
      </w:r>
      <w:r w:rsidRPr="00A32336">
        <w:rPr>
          <w:lang w:val="en-US"/>
        </w:rPr>
        <w:t xml:space="preserve"> 6 </w:t>
      </w:r>
      <w:r w:rsidR="00A32336">
        <w:rPr>
          <w:lang w:val="en-US"/>
        </w:rPr>
        <w:t>to</w:t>
      </w:r>
      <w:r w:rsidRPr="00A32336">
        <w:rPr>
          <w:lang w:val="en-US"/>
        </w:rPr>
        <w:t xml:space="preserve"> 18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12</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1</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0</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0</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language school Riviera French Institute is located in the center of the luxurious French city of Cannes. The golden beaches, the bay and the Palais des Festivals are within five minutes walk from the school.</w:t>
            </w:r>
          </w:p>
          <w:p>
            <w:r>
              <w:t xml:space="preserve">The school is equipped with spacious bright classrooms, a common living room, snack machines and WiFi. Children spend a lot of free time with host families, immerse themselves in the culture and life of the French and practice the language in a natural setting. The excursion program includes trips to Monaco with a visit to the oceanographic museum, the Marineland water park, an excursion to the Lérins Islands. On the first day, the children will go on a sightseeing tour of Cannes or Nice. Weekends and evenings - in the circle of host families.</w:t>
            </w:r>
          </w:p>
          <w:p>
            <w:r>
              <w:t xml:space="preserve">Children are accommodated in host families within walking distance or 20-30 minutes by bus from the center. Safety is a priority of the Riviera French Institute, so families are carefully selected by the staff of the center. Three meals a day.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Perfectly situated in the town center</w:t>
            </w:r>
          </w:p>
          <w:p>
            <w:pPr>
              <w:pStyle w:val="ListParagraph"/>
              <w:numPr>
                <w:ilvl w:val="0"/>
                <w:numId w:val="1"/>
              </w:numPr>
              <w:rPr/>
            </w:pPr>
            <w:r>
              <w:rPr/>
              <w:t xml:space="preserve">Free wifi</w:t>
            </w:r>
          </w:p>
          <w:p>
            <w:pPr>
              <w:pStyle w:val="ListParagraph"/>
              <w:numPr>
                <w:ilvl w:val="0"/>
                <w:numId w:val="1"/>
              </w:numPr>
              <w:rPr/>
            </w:pPr>
            <w:r>
              <w:rPr/>
              <w:t xml:space="preserve">Free private parking</w:t>
            </w:r>
          </w:p>
          <w:p>
            <w:pPr>
              <w:pStyle w:val="ListParagraph"/>
              <w:numPr>
                <w:ilvl w:val="0"/>
                <w:numId w:val="1"/>
              </w:numPr>
              <w:rPr/>
            </w:pPr>
            <w:r>
              <w:rPr/>
              <w:t xml:space="preserve">Only 5 minutes away from the beach and the Palais</w:t>
            </w:r>
          </w:p>
          <w:p>
            <w:pPr>
              <w:pStyle w:val="ListParagraph"/>
              <w:numPr>
                <w:ilvl w:val="0"/>
                <w:numId w:val="1"/>
              </w:numPr>
              <w:rPr/>
            </w:pPr>
            <w:r>
              <w:rPr/>
              <w:t xml:space="preserve">Variety of programs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18 bright, spacious and comfortable classrooms</w:t>
            </w:r>
          </w:p>
          <w:p>
            <w:pPr>
              <w:pStyle w:val="ListParagraph"/>
              <w:numPr>
                <w:ilvl w:val="0"/>
                <w:numId w:val="2"/>
              </w:numPr>
              <w:rPr/>
            </w:pPr>
            <w:r>
              <w:rPr/>
              <w:t xml:space="preserve">Theses courses are available for all levels </w:t>
            </w:r>
          </w:p>
          <w:p>
            <w:pPr>
              <w:pStyle w:val="ListParagraph"/>
              <w:numPr>
                <w:ilvl w:val="0"/>
                <w:numId w:val="2"/>
              </w:numPr>
              <w:rPr/>
            </w:pPr>
            <w:r>
              <w:rPr/>
              <w:t xml:space="preserve">French mother-tongue and certified teacher </w:t>
            </w:r>
          </w:p>
          <w:p>
            <w:pPr>
              <w:pStyle w:val="ListParagraph"/>
              <w:numPr>
                <w:ilvl w:val="0"/>
                <w:numId w:val="2"/>
              </w:numPr>
              <w:rPr/>
            </w:pPr>
            <w:r>
              <w:rPr/>
              <w:t xml:space="preserve">Snack and beverage vending machines</w:t>
            </w:r>
          </w:p>
          <w:p>
            <w:pPr>
              <w:pStyle w:val="ListParagraph"/>
              <w:numPr>
                <w:ilvl w:val="0"/>
                <w:numId w:val="2"/>
              </w:numPr>
              <w:rPr/>
            </w:pPr>
            <w:r>
              <w:rPr/>
              <w:t xml:space="preserve">The train station is only 1 minute away by foot</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Golf pitches</w:t>
            </w:r>
          </w:p>
          <w:p>
            <w:pPr>
              <w:pStyle w:val="ListParagraph"/>
              <w:numPr>
                <w:ilvl w:val="0"/>
                <w:numId w:val="3"/>
              </w:numPr>
              <w:rPr/>
            </w:pPr>
            <w:r>
              <w:rPr/>
              <w:t xml:space="preserve">Football, basketball, volleyball fields</w:t>
            </w:r>
          </w:p>
          <w:p>
            <w:pPr>
              <w:pStyle w:val="ListParagraph"/>
              <w:numPr>
                <w:ilvl w:val="0"/>
                <w:numId w:val="3"/>
              </w:numPr>
              <w:rPr/>
            </w:pPr>
            <w:r>
              <w:rPr/>
              <w:t xml:space="preserve">Tennis courts</w:t>
            </w:r>
          </w:p>
          <w:p>
            <w:pPr>
              <w:pStyle w:val="ListParagraph"/>
              <w:numPr>
                <w:ilvl w:val="0"/>
                <w:numId w:val="3"/>
              </w:numPr>
              <w:rPr/>
            </w:pPr>
            <w:r>
              <w:rPr/>
              <w:t xml:space="preserve">Paddling</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Excursions</w:t>
            </w:r>
          </w:p>
          <w:p>
            <w:pPr>
              <w:pStyle w:val="ListParagraph"/>
              <w:numPr>
                <w:ilvl w:val="0"/>
                <w:numId w:val="4"/>
              </w:numPr>
              <w:rPr/>
            </w:pPr>
            <w:r>
              <w:rPr/>
              <w:t xml:space="preserve">Sailing</w:t>
            </w:r>
          </w:p>
          <w:p>
            <w:pPr>
              <w:pStyle w:val="ListParagraph"/>
              <w:numPr>
                <w:ilvl w:val="0"/>
                <w:numId w:val="4"/>
              </w:numPr>
              <w:rPr/>
            </w:pPr>
            <w:r>
              <w:rPr/>
              <w:t xml:space="preserve">Sport</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Language course 10 hours per week. Children are taught in classes of up to 15 people, classes are formed according to the level of the language. Teaching staff - native speakers with education in the field of linguistics or philology. Lessons are held from 9.00 to 12.15. Children work on pronunciation, understanding colloquial speech, expanding vocabulary, especially in knowledge of idioms. Teachers create a motivating and relaxed atmosphere. Training is possible at any level.</w:t>
            </w:r>
          </w:p>
          <w:p>
            <w:r>
              <w:t xml:space="preserve"/>
            </w:r>
          </w:p>
          <w:p>
            <w:pPr>
              <w:pStyle w:val="ListParagraph"/>
              <w:numPr>
                <w:ilvl w:val="0"/>
                <w:numId w:val="5"/>
              </w:numPr>
              <w:rPr/>
            </w:pPr>
            <w:r>
              <w:rPr/>
              <w:t xml:space="preserve">10 hour French course per week</w:t>
            </w:r>
          </w:p>
          <w:p>
            <w:pPr>
              <w:pStyle w:val="ListParagraph"/>
              <w:numPr>
                <w:ilvl w:val="0"/>
                <w:numId w:val="5"/>
              </w:numPr>
              <w:rPr/>
            </w:pPr>
            <w:r>
              <w:rPr/>
              <w:t xml:space="preserve">Educational material</w:t>
            </w:r>
          </w:p>
          <w:p>
            <w:pPr>
              <w:pStyle w:val="ListParagraph"/>
              <w:numPr>
                <w:ilvl w:val="0"/>
                <w:numId w:val="5"/>
              </w:numPr>
              <w:rPr/>
            </w:pPr>
            <w:r>
              <w:rPr/>
              <w:t xml:space="preserve">Certificate</w:t>
            </w:r>
          </w:p>
          <w:p>
            <w:pPr>
              <w:pStyle w:val="ListParagraph"/>
              <w:numPr>
                <w:ilvl w:val="0"/>
                <w:numId w:val="5"/>
              </w:numPr>
              <w:rPr/>
            </w:pPr>
            <w:r>
              <w:rPr/>
              <w:t xml:space="preserve">Three meals a day</w:t>
            </w:r>
          </w:p>
          <w:p>
            <w:pPr>
              <w:pStyle w:val="ListParagraph"/>
              <w:numPr>
                <w:ilvl w:val="0"/>
                <w:numId w:val="5"/>
              </w:numPr>
              <w:rPr/>
            </w:pPr>
            <w:r>
              <w:rPr/>
              <w:t xml:space="preserve">Sightseeing tour to Cannes/Nice</w:t>
            </w:r>
          </w:p>
          <w:p>
            <w:pPr>
              <w:pStyle w:val="ListParagraph"/>
              <w:numPr>
                <w:ilvl w:val="0"/>
                <w:numId w:val="5"/>
              </w:numPr>
              <w:rPr/>
            </w:pPr>
            <w:r>
              <w:rPr/>
              <w:t xml:space="preserve">Accommodation in host families</w:t>
            </w:r>
          </w:p>
          <w:p>
            <w:pPr>
              <w:pStyle w:val="ListParagraph"/>
              <w:numPr>
                <w:ilvl w:val="0"/>
                <w:numId w:val="5"/>
              </w:numPr>
              <w:rPr/>
            </w:pPr>
            <w:r>
              <w:rPr/>
              <w:t xml:space="preserve">Banking costs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Medical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Ницца</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Arrival in the host family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4 general French group lessons (3H00) from 9.00 to 10.30 and from 10.45 to 12.15.</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Guided tour of Nice or Cannes with RFI Group Leader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4 general French group lessons (3H00) from 9.00 to 10.30 and from 10.45 to 12.15.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4 general French group lessons (3H00) from 9.00 to 10.30 and from 10.45 to 12.15.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4 general French group lessons (3H00) from 9.00 to 10.30 and from 10.45 to 12.15.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Departure. The host-family will drop off at departure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